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color w:val="004800"/>
          <w:sz w:val="22"/>
          <w:szCs w:val="22"/>
          <w:u w:color="004800"/>
        </w:rPr>
      </w:pPr>
      <w:r>
        <w:rPr>
          <w:color w:val="004800"/>
          <w:sz w:val="22"/>
          <w:szCs w:val="22"/>
          <w:u w:color="0048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1445260</wp:posOffset>
                </wp:positionH>
                <wp:positionV relativeFrom="line">
                  <wp:posOffset>75014</wp:posOffset>
                </wp:positionV>
                <wp:extent cx="2839959" cy="75859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959" cy="758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Luton &amp; Dunstable FT 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NHS Hospital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Gastroenterology Unit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</w:rPr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</w:rPr>
                            </w:pPr>
                            <w:r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  <w:rtl w:val="0"/>
                                <w:lang w:val="en-US"/>
                              </w:rPr>
                              <w:t>Cons. Dr. Matthew Johnson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</w:rPr>
                            </w:pPr>
                            <w:r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  <w:rtl w:val="0"/>
                                <w:lang w:val="en-US"/>
                              </w:rPr>
                              <w:t>Cons. Dr. Nicki Simmonds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</w:rPr>
                            </w:pPr>
                            <w:r>
                              <w:rPr>
                                <w:color w:val="004800"/>
                                <w:sz w:val="20"/>
                                <w:szCs w:val="20"/>
                                <w:u w:color="004800"/>
                                <w:rtl w:val="0"/>
                                <w:lang w:val="en-US"/>
                              </w:rPr>
                              <w:t>Cons. Dr. Anthony Griffiths,</w:t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b w:val="0"/>
                                <w:bCs w:val="0"/>
                                <w:color w:val="004800"/>
                                <w:sz w:val="20"/>
                                <w:szCs w:val="20"/>
                                <w:u w:color="0048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4800"/>
                                <w:sz w:val="20"/>
                                <w:szCs w:val="20"/>
                                <w:u w:color="004800"/>
                                <w:rtl w:val="0"/>
                                <w:lang w:val="en-US"/>
                              </w:rPr>
                              <w:t>Cons. Dr. Sambit Sen</w:t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b w:val="0"/>
                                <w:bCs w:val="0"/>
                                <w:color w:val="004800"/>
                                <w:sz w:val="20"/>
                                <w:szCs w:val="20"/>
                                <w:u w:color="0048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4800"/>
                                <w:sz w:val="20"/>
                                <w:szCs w:val="20"/>
                                <w:u w:color="004800"/>
                                <w:rtl w:val="0"/>
                                <w:lang w:val="en-US"/>
                              </w:rPr>
                              <w:t>SpN.  Sr. Tracey Price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Contact No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. 01582 718368</w:t>
                            </w:r>
                          </w:p>
                          <w:p>
                            <w:pPr>
                              <w:pStyle w:val="Normal.0"/>
                            </w:pPr>
                            <w:r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3.8pt;margin-top:5.9pt;width:223.6pt;height:59.7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 xml:space="preserve">Luton &amp; Dunstable FT 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NHS Hospital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Gastroenterology Unit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color w:val="004800"/>
                          <w:sz w:val="20"/>
                          <w:szCs w:val="20"/>
                          <w:u w:color="004800"/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color w:val="004800"/>
                          <w:sz w:val="20"/>
                          <w:szCs w:val="20"/>
                          <w:u w:color="004800"/>
                        </w:rPr>
                      </w:pPr>
                      <w:r>
                        <w:rPr>
                          <w:color w:val="004800"/>
                          <w:sz w:val="20"/>
                          <w:szCs w:val="20"/>
                          <w:u w:color="004800"/>
                          <w:rtl w:val="0"/>
                          <w:lang w:val="en-US"/>
                        </w:rPr>
                        <w:t>Cons. Dr. Matthew Johnson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color w:val="004800"/>
                          <w:sz w:val="20"/>
                          <w:szCs w:val="20"/>
                          <w:u w:color="004800"/>
                        </w:rPr>
                      </w:pPr>
                      <w:r>
                        <w:rPr>
                          <w:color w:val="004800"/>
                          <w:sz w:val="20"/>
                          <w:szCs w:val="20"/>
                          <w:u w:color="004800"/>
                          <w:rtl w:val="0"/>
                          <w:lang w:val="en-US"/>
                        </w:rPr>
                        <w:t>Cons. Dr. Nicki Simmonds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color w:val="004800"/>
                          <w:sz w:val="20"/>
                          <w:szCs w:val="20"/>
                          <w:u w:color="004800"/>
                        </w:rPr>
                      </w:pPr>
                      <w:r>
                        <w:rPr>
                          <w:color w:val="004800"/>
                          <w:sz w:val="20"/>
                          <w:szCs w:val="20"/>
                          <w:u w:color="004800"/>
                          <w:rtl w:val="0"/>
                          <w:lang w:val="en-US"/>
                        </w:rPr>
                        <w:t>Cons. Dr. Anthony Griffiths,</w:t>
                      </w:r>
                    </w:p>
                    <w:p>
                      <w:pPr>
                        <w:pStyle w:val="Heading 2"/>
                        <w:jc w:val="center"/>
                        <w:rPr>
                          <w:b w:val="0"/>
                          <w:bCs w:val="0"/>
                          <w:color w:val="004800"/>
                          <w:sz w:val="20"/>
                          <w:szCs w:val="20"/>
                          <w:u w:color="004800"/>
                        </w:rPr>
                      </w:pPr>
                      <w:r>
                        <w:rPr>
                          <w:b w:val="0"/>
                          <w:bCs w:val="0"/>
                          <w:color w:val="004800"/>
                          <w:sz w:val="20"/>
                          <w:szCs w:val="20"/>
                          <w:u w:color="004800"/>
                          <w:rtl w:val="0"/>
                          <w:lang w:val="en-US"/>
                        </w:rPr>
                        <w:t>Cons. Dr. Sambit Sen</w:t>
                      </w:r>
                    </w:p>
                    <w:p>
                      <w:pPr>
                        <w:pStyle w:val="Heading 2"/>
                        <w:jc w:val="center"/>
                        <w:rPr>
                          <w:b w:val="0"/>
                          <w:bCs w:val="0"/>
                          <w:color w:val="004800"/>
                          <w:sz w:val="20"/>
                          <w:szCs w:val="20"/>
                          <w:u w:color="004800"/>
                        </w:rPr>
                      </w:pPr>
                      <w:r>
                        <w:rPr>
                          <w:b w:val="0"/>
                          <w:bCs w:val="0"/>
                          <w:color w:val="004800"/>
                          <w:sz w:val="20"/>
                          <w:szCs w:val="20"/>
                          <w:u w:color="004800"/>
                          <w:rtl w:val="0"/>
                          <w:lang w:val="en-US"/>
                        </w:rPr>
                        <w:t>SpN.  Sr. Tracey Price</w:t>
                      </w:r>
                    </w:p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Contact No</w:t>
                      </w: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. 01582 718368</w:t>
                      </w:r>
                    </w:p>
                    <w:p>
                      <w:pPr>
                        <w:pStyle w:val="Normal.0"/>
                      </w:pPr>
                      <w:r/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color w:val="004800"/>
          <w:sz w:val="22"/>
          <w:szCs w:val="22"/>
          <w:u w:color="00480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5182235</wp:posOffset>
            </wp:positionH>
            <wp:positionV relativeFrom="line">
              <wp:posOffset>19452</wp:posOffset>
            </wp:positionV>
            <wp:extent cx="640716" cy="88392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ig L&amp;D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6" cy="883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4800"/>
          <w:sz w:val="22"/>
          <w:szCs w:val="22"/>
          <w:u w:color="00480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-345757</wp:posOffset>
            </wp:positionH>
            <wp:positionV relativeFrom="line">
              <wp:posOffset>37750</wp:posOffset>
            </wp:positionV>
            <wp:extent cx="678816" cy="83312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hield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6" cy="833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right"/>
        <w:rPr>
          <w:color w:val="004800"/>
          <w:u w:color="004800"/>
        </w:rPr>
      </w:pPr>
    </w:p>
    <w:p>
      <w:pPr>
        <w:pStyle w:val="Normal.0"/>
        <w:jc w:val="right"/>
        <w:rPr>
          <w:color w:val="004800"/>
          <w:u w:color="004800"/>
        </w:rPr>
      </w:pPr>
    </w:p>
    <w:p>
      <w:pPr>
        <w:pStyle w:val="Normal.0"/>
        <w:jc w:val="right"/>
        <w:rPr>
          <w:color w:val="004800"/>
          <w:u w:color="004800"/>
        </w:rPr>
      </w:pPr>
    </w:p>
    <w:p>
      <w:pPr>
        <w:pStyle w:val="Normal.0"/>
        <w:jc w:val="right"/>
        <w:rPr>
          <w:color w:val="004800"/>
          <w:u w:color="004800"/>
        </w:rPr>
      </w:pPr>
    </w:p>
    <w:p>
      <w:pPr>
        <w:pStyle w:val="Normal.0"/>
        <w:jc w:val="right"/>
        <w:rPr>
          <w:color w:val="004800"/>
          <w:sz w:val="22"/>
          <w:szCs w:val="22"/>
          <w:u w:color="004800"/>
        </w:rPr>
      </w:pPr>
      <w:r>
        <w:rPr>
          <w:color w:val="898471"/>
          <w:sz w:val="17"/>
          <w:szCs w:val="17"/>
          <w:u w:color="898471"/>
        </w:rPr>
        <w:tab/>
        <w:tab/>
      </w:r>
    </w:p>
    <w:p>
      <w:pPr>
        <w:pStyle w:val="Normal.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line">
                  <wp:posOffset>41275</wp:posOffset>
                </wp:positionV>
                <wp:extent cx="6172201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8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24.8pt;margin-top:3.2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800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 w:val="1"/>
          <w:bCs w:val="1"/>
          <w:i w:val="1"/>
          <w:iCs w:val="1"/>
        </w:rPr>
        <w:tab/>
        <w:tab/>
      </w:r>
    </w:p>
    <w:p>
      <w:pPr>
        <w:pStyle w:val="Normal.0"/>
        <w:rPr>
          <w:rFonts w:ascii="Tahoma" w:cs="Tahoma" w:hAnsi="Tahoma" w:eastAsia="Tahoma"/>
          <w:color w:val="898471"/>
          <w:sz w:val="17"/>
          <w:szCs w:val="17"/>
          <w:u w:color="898471"/>
        </w:rPr>
      </w:pPr>
      <w:r>
        <w:rPr>
          <w:rFonts w:ascii="Tahoma" w:hAnsi="Tahoma"/>
          <w:color w:val="898471"/>
          <w:sz w:val="17"/>
          <w:szCs w:val="17"/>
          <w:u w:color="898471"/>
          <w:rtl w:val="0"/>
          <w:lang w:val="en-US"/>
        </w:rPr>
        <w:t xml:space="preserve">            </w:t>
      </w:r>
    </w:p>
    <w:p>
      <w:pPr>
        <w:pStyle w:val="Normal.0"/>
        <w:jc w:val="center"/>
        <w:rPr>
          <w:rFonts w:ascii="Tahoma" w:cs="Tahoma" w:hAnsi="Tahoma" w:eastAsia="Tahoma"/>
          <w:color w:val="898471"/>
          <w:sz w:val="17"/>
          <w:szCs w:val="17"/>
          <w:u w:color="898471"/>
        </w:rPr>
      </w:pPr>
    </w:p>
    <w:p>
      <w:pPr>
        <w:pStyle w:val="Normal.0"/>
        <w:jc w:val="center"/>
        <w:rPr>
          <w:b w:val="1"/>
          <w:bCs w:val="1"/>
          <w:color w:val="339966"/>
          <w:sz w:val="36"/>
          <w:szCs w:val="36"/>
          <w:u w:color="339966"/>
        </w:rPr>
      </w:pPr>
      <w:r>
        <w:rPr>
          <w:b w:val="1"/>
          <w:bCs w:val="1"/>
          <w:color w:val="0000ff"/>
          <w:sz w:val="36"/>
          <w:szCs w:val="36"/>
          <w:u w:color="0000ff"/>
          <w:rtl w:val="0"/>
          <w:lang w:val="en-US"/>
        </w:rPr>
        <w:t>Sucralfate Enemas for Radiation Proctitis</w:t>
      </w:r>
    </w:p>
    <w:p>
      <w:pPr>
        <w:pStyle w:val="Normal.0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339966"/>
          <w:sz w:val="36"/>
          <w:szCs w:val="36"/>
          <w:u w:color="339966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Sucralfate enemas are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typically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used to treat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the symptoms of </w:t>
      </w:r>
      <w:r>
        <w:rPr>
          <w:rFonts w:ascii="Helvetica" w:hAnsi="Helvetica"/>
          <w:sz w:val="22"/>
          <w:szCs w:val="22"/>
          <w:rtl w:val="0"/>
          <w:lang w:val="fr-FR"/>
        </w:rPr>
        <w:t>radiation proctitis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, which is an </w:t>
      </w:r>
      <w:r>
        <w:rPr>
          <w:rFonts w:ascii="Helvetica" w:hAnsi="Helvetica" w:hint="default"/>
          <w:sz w:val="22"/>
          <w:szCs w:val="22"/>
          <w:rtl w:val="0"/>
          <w:lang w:val="en-US"/>
        </w:rPr>
        <w:t>“</w:t>
      </w:r>
      <w:r>
        <w:rPr>
          <w:rFonts w:ascii="Helvetica" w:hAnsi="Helvetica"/>
          <w:sz w:val="22"/>
          <w:szCs w:val="22"/>
          <w:rtl w:val="0"/>
          <w:lang w:val="en-US"/>
        </w:rPr>
        <w:t>irritating scarring</w:t>
      </w:r>
      <w:r>
        <w:rPr>
          <w:rFonts w:ascii="Helvetica" w:hAnsi="Helvetica" w:hint="default"/>
          <w:sz w:val="22"/>
          <w:szCs w:val="22"/>
          <w:rtl w:val="0"/>
          <w:lang w:val="en-US"/>
        </w:rPr>
        <w:t xml:space="preserve">” </w:t>
      </w:r>
      <w:r>
        <w:rPr>
          <w:rFonts w:ascii="Helvetica" w:hAnsi="Helvetica"/>
          <w:sz w:val="22"/>
          <w:szCs w:val="22"/>
          <w:rtl w:val="0"/>
          <w:lang w:val="en-US"/>
        </w:rPr>
        <w:t>that occurs secondary to pelvic radiation therapy. This can become problematic some years after the radiotherapy, and isn</w:t>
      </w:r>
      <w:r>
        <w:rPr>
          <w:rFonts w:ascii="Helvetica" w:hAnsi="Helvetica" w:hint="default"/>
          <w:sz w:val="22"/>
          <w:szCs w:val="22"/>
          <w:rtl w:val="0"/>
          <w:lang w:val="en-US"/>
        </w:rPr>
        <w:t>’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 actually an inflammatory state.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This treatment can help </w:t>
      </w:r>
      <w:r>
        <w:rPr>
          <w:rFonts w:ascii="Helvetica" w:hAnsi="Helvetica"/>
          <w:sz w:val="22"/>
          <w:szCs w:val="22"/>
          <w:rtl w:val="0"/>
          <w:lang w:val="en-US"/>
        </w:rPr>
        <w:t>with urgency, diarrhoea, stool frequency and rectal bleeding. It c</w:t>
      </w:r>
      <w:r>
        <w:rPr>
          <w:rFonts w:ascii="Helvetica" w:hAnsi="Helvetica"/>
          <w:sz w:val="22"/>
          <w:szCs w:val="22"/>
          <w:rtl w:val="0"/>
          <w:lang w:val="en-US"/>
        </w:rPr>
        <w:t>an be continued for up to 24 weeks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, however most patients use it episodically, when they are symptomatic. 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Unfortunately we do not have preformed Sucralfate enemas locally and it is difficult to acquire them in UK.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This fact sheet explains how you can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make and </w:t>
      </w:r>
      <w:r>
        <w:rPr>
          <w:rFonts w:ascii="Helvetica" w:hAnsi="Helvetica"/>
          <w:sz w:val="22"/>
          <w:szCs w:val="22"/>
          <w:rtl w:val="0"/>
          <w:lang w:val="en-US"/>
        </w:rPr>
        <w:t>administer the enema yourself, using a syringe and catheter.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The hospital</w:t>
      </w:r>
      <w:r>
        <w:rPr>
          <w:rFonts w:ascii="Helvetica" w:hAnsi="Helvetica"/>
          <w:sz w:val="22"/>
          <w:szCs w:val="22"/>
          <w:rtl w:val="0"/>
          <w:lang w:val="en-US"/>
        </w:rPr>
        <w:t>, GP, practice nurse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or community pharmacy </w:t>
      </w:r>
      <w:r>
        <w:rPr>
          <w:rFonts w:ascii="Helvetica" w:hAnsi="Helvetica"/>
          <w:sz w:val="22"/>
          <w:szCs w:val="22"/>
          <w:rtl w:val="0"/>
          <w:lang w:val="en-US"/>
        </w:rPr>
        <w:t>will need to provide the following;-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1)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Sucralfate Suspension 1g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per</w:t>
      </w:r>
      <w:r>
        <w:rPr>
          <w:rFonts w:ascii="Helvetica" w:hAnsi="Helvetica"/>
          <w:b w:val="1"/>
          <w:bCs w:val="1"/>
          <w:sz w:val="22"/>
          <w:szCs w:val="22"/>
          <w:rtl w:val="0"/>
        </w:rPr>
        <w:t xml:space="preserve"> 5ml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 (ie. 2g in 10ml)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2) </w:t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60ml Syringe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3)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14-French rubber urethral catheter 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4)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Lubricating Jelly 42g tube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Your practise nurse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/ district nurse </w:t>
      </w:r>
      <w:r>
        <w:rPr>
          <w:rFonts w:ascii="Helvetica" w:hAnsi="Helvetica"/>
          <w:sz w:val="22"/>
          <w:szCs w:val="22"/>
          <w:rtl w:val="0"/>
        </w:rPr>
        <w:t>c</w:t>
      </w:r>
      <w:r>
        <w:rPr>
          <w:rFonts w:ascii="Helvetica" w:hAnsi="Helvetica"/>
          <w:sz w:val="22"/>
          <w:szCs w:val="22"/>
          <w:rtl w:val="0"/>
          <w:lang w:val="en-US"/>
        </w:rPr>
        <w:t>ould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help you prepar</w:t>
      </w:r>
      <w:r>
        <w:rPr>
          <w:rFonts w:ascii="Helvetica" w:hAnsi="Helvetica"/>
          <w:sz w:val="22"/>
          <w:szCs w:val="22"/>
          <w:rtl w:val="0"/>
          <w:lang w:val="en-US"/>
        </w:rPr>
        <w:t>e and administer the enema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at home, if you find this difficult.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Method of Preparation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Using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the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syringe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provided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draw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up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it-IT"/>
        </w:rPr>
        <w:t>10mls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of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the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Sucralfate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fr-FR"/>
        </w:rPr>
        <w:t>Suspension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(2g)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Using the same syringe </w:t>
      </w:r>
      <w:r>
        <w:rPr>
          <w:rFonts w:ascii="Helvetica" w:hAnsi="Helvetica"/>
          <w:sz w:val="22"/>
          <w:szCs w:val="22"/>
          <w:rtl w:val="0"/>
          <w:lang w:val="en-US"/>
        </w:rPr>
        <w:t>draw up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10mls of warm water and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then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mix.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Ensure that any excess air is expelled from the syringe.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Attach the catheter provided to the syringe tip</w:t>
      </w:r>
      <w:r>
        <w:rPr>
          <w:rFonts w:ascii="Helvetica" w:hAnsi="Helvetica"/>
          <w:sz w:val="22"/>
          <w:szCs w:val="22"/>
          <w:rtl w:val="0"/>
          <w:lang w:val="en-US"/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L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ubricate the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tip </w:t>
      </w:r>
      <w:r>
        <w:rPr>
          <w:rFonts w:ascii="Helvetica" w:hAnsi="Helvetica"/>
          <w:sz w:val="22"/>
          <w:szCs w:val="22"/>
          <w:rtl w:val="0"/>
          <w:lang w:val="en-US"/>
        </w:rPr>
        <w:t>of the catheter with lubricating gel provided.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Method of Administration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Lie on your left side with both knees bent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(this will help </w:t>
      </w:r>
      <w:r>
        <w:rPr>
          <w:rFonts w:ascii="Helvetica" w:hAnsi="Helvetica"/>
          <w:sz w:val="22"/>
          <w:szCs w:val="22"/>
          <w:rtl w:val="0"/>
          <w:lang w:val="it-IT"/>
        </w:rPr>
        <w:t>enema retention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at the affected area)</w:t>
      </w:r>
      <w:r>
        <w:rPr>
          <w:rFonts w:ascii="Helvetica" w:hAnsi="Helvetica"/>
          <w:sz w:val="22"/>
          <w:szCs w:val="22"/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Position a towel underneath yourself to catch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any leakage.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G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ently insert the catheter to a depth of approximately </w:t>
      </w:r>
      <w:r>
        <w:rPr>
          <w:rFonts w:ascii="Helvetica" w:hAnsi="Helvetica"/>
          <w:sz w:val="22"/>
          <w:szCs w:val="22"/>
          <w:rtl w:val="0"/>
          <w:lang w:val="en-US"/>
        </w:rPr>
        <w:t>5</w:t>
      </w:r>
      <w:r>
        <w:rPr>
          <w:rFonts w:ascii="Helvetica" w:hAnsi="Helvetica"/>
          <w:sz w:val="22"/>
          <w:szCs w:val="22"/>
          <w:rtl w:val="0"/>
        </w:rPr>
        <w:t>cm (</w:t>
      </w:r>
      <w:r>
        <w:rPr>
          <w:rFonts w:ascii="Helvetica" w:hAnsi="Helvetica"/>
          <w:sz w:val="22"/>
          <w:szCs w:val="22"/>
          <w:rtl w:val="0"/>
          <w:lang w:val="en-US"/>
        </w:rPr>
        <w:t>2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inches)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through the anus.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Slowly and steadily p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ress down on the barrel of the syringe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until all the </w:t>
      </w:r>
      <w:r>
        <w:rPr>
          <w:rFonts w:ascii="Helvetica" w:hAnsi="Helvetica"/>
          <w:sz w:val="22"/>
          <w:szCs w:val="22"/>
          <w:rtl w:val="0"/>
          <w:lang w:val="fr-FR"/>
        </w:rPr>
        <w:t xml:space="preserve">contents </w:t>
      </w:r>
      <w:r>
        <w:rPr>
          <w:rFonts w:ascii="Helvetica" w:hAnsi="Helvetica"/>
          <w:sz w:val="22"/>
          <w:szCs w:val="22"/>
          <w:rtl w:val="0"/>
          <w:lang w:val="en-US"/>
        </w:rPr>
        <w:t>has been used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Slowly withdraw the catheter.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Try and retain the enema in the rectum for as long as possible.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NB - </w:t>
      </w:r>
      <w:r>
        <w:rPr>
          <w:rFonts w:ascii="Helvetica" w:hAnsi="Helvetica"/>
          <w:sz w:val="22"/>
          <w:szCs w:val="22"/>
          <w:rtl w:val="0"/>
          <w:lang w:val="en-US"/>
        </w:rPr>
        <w:t>If pain occurs</w:t>
      </w:r>
      <w:r>
        <w:rPr>
          <w:rFonts w:ascii="Helvetica" w:hAnsi="Helvetica"/>
          <w:sz w:val="22"/>
          <w:szCs w:val="22"/>
          <w:rtl w:val="0"/>
          <w:lang w:val="en-US"/>
        </w:rPr>
        <w:t>,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or any resistance is felt at any time during the procedure, then stop and seek further medical advice.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have borrowed much of the content above, from the Patient Information Sheet provided by;-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The Royal United Hospital Bath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Healthcare you can Trust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Date of publication 12 July 2013</w:t>
      </w:r>
    </w:p>
    <w:p>
      <w:pPr>
        <w:pStyle w:val="Normal.0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Ref: RUH GAS/008</w:t>
      </w:r>
    </w:p>
    <w:p>
      <w:pPr>
        <w:pStyle w:val="Normal.0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© </w:t>
      </w:r>
      <w:r>
        <w:rPr>
          <w:rFonts w:ascii="Helvetica" w:hAnsi="Helvetica"/>
          <w:sz w:val="22"/>
          <w:szCs w:val="22"/>
          <w:rtl w:val="0"/>
          <w:lang w:val="en-US"/>
        </w:rPr>
        <w:t>Royal United Hospital Bath NHS Trust</w:t>
      </w:r>
    </w:p>
    <w:sectPr>
      <w:headerReference w:type="default" r:id="rId6"/>
      <w:footerReference w:type="default" r:id="rId7"/>
      <w:pgSz w:w="11900" w:h="16840" w:orient="portrait"/>
      <w:pgMar w:top="851" w:right="1797" w:bottom="1440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