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center"/>
        <w:rPr>
          <w:b w:val="1"/>
          <w:bCs w:val="1"/>
          <w:color w:val="333333"/>
          <w:sz w:val="48"/>
          <w:szCs w:val="48"/>
          <w:u w:val="single"/>
          <w:shd w:val="clear" w:color="auto" w:fill="ffffff"/>
          <w:rtl w:val="0"/>
        </w:rPr>
      </w:pPr>
      <w:r>
        <w:rPr>
          <w:b w:val="1"/>
          <w:bCs w:val="1"/>
          <w:color w:val="333333"/>
          <w:sz w:val="48"/>
          <w:szCs w:val="48"/>
          <w:u w:val="single"/>
          <w:shd w:val="clear" w:color="auto" w:fill="ffffff"/>
          <w:rtl w:val="0"/>
          <w:lang w:val="en-US"/>
        </w:rPr>
        <w:t>Causes of Raised IgE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  <w:lang w:val="en-US"/>
        </w:rPr>
        <w:t>1. The atopic diseases of allergic rhinitis, asthma, and allergic dermatitis.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  <w:lang w:val="en-US"/>
        </w:rPr>
        <w:t>2. Parasitic disease including the following: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  <w:lang w:val="it-IT"/>
        </w:rPr>
        <w:t>a. Cestodes (Echinococcus).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  <w:lang w:val="it-IT"/>
        </w:rPr>
        <w:t>b. Trematodes (Schistosoma).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</w:rPr>
        <w:t>c. Nematodes.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  <w:lang w:val="it-IT"/>
        </w:rPr>
        <w:t>d. Ascaris.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</w:rPr>
        <w:t>e. Strongyloides.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</w:rPr>
        <w:t>f. Ancylostoma.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  <w:lang w:val="it-IT"/>
        </w:rPr>
        <w:t>g. Capillaria.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  <w:lang w:val="pt-PT"/>
        </w:rPr>
        <w:t>h. Toxocara.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  <w:lang w:val="en-US"/>
        </w:rPr>
        <w:t>3. Hyper-IgE syndrome (parenthetically discussed in detail in the following New England Journal article reference: Holland SM, et al. STAT3 Mutations in the Hyper-IgE Syndrome. New England Journal of Medicine, October 18, 2007; 357:1608.)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</w:rPr>
        <w:t>4. IgE myeloma.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  <w:lang w:val="en-US"/>
        </w:rPr>
        <w:t>5. Various immunodeficiency states including the following: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</w:rPr>
        <w:t>a. Wiskott-Aldrich.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</w:rPr>
        <w:t>b. DiGeorge.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</w:rPr>
        <w:t>c. Nezelof.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  <w:lang w:val="en-US"/>
        </w:rPr>
        <w:t>6. Cystic fibrosis with the presence of atopy.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  <w:lang w:val="en-US"/>
        </w:rPr>
        <w:t>7. Kawasaki's.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  <w:lang w:val="en-US"/>
        </w:rPr>
        <w:t>8. Bronchopulmonary aspergillosis (some cases of aspergilloma as well).</w:t>
      </w: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  <w:r>
        <w:rPr>
          <w:color w:val="333333"/>
          <w:sz w:val="28"/>
          <w:szCs w:val="28"/>
          <w:shd w:val="clear" w:color="auto" w:fill="ffffff"/>
          <w:rtl w:val="0"/>
        </w:rPr>
        <w:t>9. Leprosy.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