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8"/>
          <w:szCs w:val="48"/>
          <w:u w:val="single"/>
        </w:rPr>
      </w:pPr>
      <w:r>
        <w:rPr>
          <w:b w:val="1"/>
          <w:bCs w:val="1"/>
          <w:sz w:val="48"/>
          <w:szCs w:val="48"/>
          <w:u w:val="single"/>
          <w:rtl w:val="0"/>
          <w:lang w:val="en-US"/>
        </w:rPr>
        <w:t>Chronic Mouth Ulcers</w:t>
      </w:r>
    </w:p>
    <w:p>
      <w:pPr>
        <w:pStyle w:val="Body"/>
        <w:jc w:val="center"/>
        <w:rPr>
          <w:b w:val="1"/>
          <w:bCs w:val="1"/>
          <w:sz w:val="48"/>
          <w:szCs w:val="48"/>
          <w:u w:val="single"/>
        </w:rPr>
      </w:pPr>
    </w:p>
    <w:p>
      <w:pPr>
        <w:pStyle w:val="Body"/>
        <w:jc w:val="center"/>
        <w:rPr>
          <w:b w:val="1"/>
          <w:bCs w:val="1"/>
          <w:sz w:val="48"/>
          <w:szCs w:val="48"/>
          <w:u w:val="single"/>
        </w:rPr>
      </w:pPr>
    </w:p>
    <w:p>
      <w:pPr>
        <w:pStyle w:val="Body"/>
        <w:jc w:val="left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General</w:t>
      </w:r>
    </w:p>
    <w:p>
      <w:pPr>
        <w:pStyle w:val="Body"/>
        <w:jc w:val="left"/>
        <w:rPr>
          <w:b w:val="1"/>
          <w:bCs w:val="1"/>
          <w:sz w:val="32"/>
          <w:szCs w:val="32"/>
          <w:u w:val="single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Prevalence is said to be 2-10%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Triggers can be stress and Vitamin deficiencies (iron, B12, folate)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There can be associations with Coeliac disease, IBD, Behcets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general avoid hard acidic and salty foods</w:t>
      </w:r>
    </w:p>
    <w:p>
      <w:pPr>
        <w:pStyle w:val="Body"/>
        <w:jc w:val="left"/>
        <w:rPr>
          <w:b w:val="1"/>
          <w:bCs w:val="1"/>
          <w:sz w:val="32"/>
          <w:szCs w:val="32"/>
          <w:u w:val="single"/>
        </w:rPr>
      </w:pPr>
    </w:p>
    <w:p>
      <w:pPr>
        <w:pStyle w:val="Body"/>
        <w:jc w:val="left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Management Options </w:t>
      </w:r>
    </w:p>
    <w:p>
      <w:pPr>
        <w:pStyle w:val="Body"/>
        <w:jc w:val="left"/>
        <w:rPr>
          <w:b w:val="1"/>
          <w:bCs w:val="1"/>
          <w:sz w:val="32"/>
          <w:szCs w:val="32"/>
          <w:u w:val="single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generally recommend starting with a combination of;-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a) Chlohexidine (Corsadyl spray or mouthwash) 2mg/1ml bd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b) Benzydamine Hydrochloride (Difflam spray or mouthwash) 1.5mg /ml 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+/- 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c) Hydrocortisone 2.5mg muco-adhesive buccal tablet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Alternatives include;-</w:t>
      </w:r>
    </w:p>
    <w:p>
      <w:pPr>
        <w:pStyle w:val="Body"/>
        <w:jc w:val="left"/>
        <w:rPr>
          <w:b w:val="1"/>
          <w:bCs w:val="1"/>
          <w:sz w:val="32"/>
          <w:szCs w:val="32"/>
          <w:u w:val="single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53"/>
        <w:gridCol w:w="767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Options</w:t>
            </w:r>
          </w:p>
        </w:tc>
        <w:tc>
          <w:tcPr>
            <w:tcW w:type="dxa" w:w="7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Therapies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Step 1</w:t>
            </w:r>
          </w:p>
        </w:tc>
        <w:tc>
          <w:tcPr>
            <w:tcW w:type="dxa" w:w="7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Sucralfate 5mls liquid qds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5-ASA (amino-salicylicylic acid) 5% cream tis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Step 2</w:t>
            </w:r>
          </w:p>
        </w:tc>
        <w:tc>
          <w:tcPr>
            <w:tcW w:type="dxa" w:w="7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Dexamethasone 0.1% oral paste ads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Triamcinolone acetone 0.1% oral paste tis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Step 3</w:t>
            </w:r>
          </w:p>
        </w:tc>
        <w:tc>
          <w:tcPr>
            <w:tcW w:type="dxa" w:w="7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Sucralfate 1g liquid qds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Colchicine 0.5 - 1 mg bd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Step 4</w:t>
            </w:r>
          </w:p>
        </w:tc>
        <w:tc>
          <w:tcPr>
            <w:tcW w:type="dxa" w:w="7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Pentoxifylline 200mg bd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Prednisolone 10 - 30mg od</w:t>
            </w:r>
          </w:p>
        </w:tc>
      </w:tr>
    </w:tbl>
    <w:p>
      <w:pPr>
        <w:pStyle w:val="Body"/>
        <w:jc w:val="left"/>
        <w:rPr>
          <w:b w:val="1"/>
          <w:bCs w:val="1"/>
          <w:sz w:val="32"/>
          <w:szCs w:val="32"/>
          <w:u w:val="single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</w:pPr>
      <w:r>
        <w:rPr>
          <w:sz w:val="28"/>
          <w:szCs w:val="28"/>
          <w:rtl w:val="0"/>
          <w:lang w:val="en-US"/>
        </w:rPr>
        <w:t>Deutsches Arzteblatt International. 2014;111:665-73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