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48"/>
          <w:szCs w:val="48"/>
          <w:u w:val="single"/>
        </w:rPr>
      </w:pPr>
      <w:r>
        <w:rPr>
          <w:b w:val="1"/>
          <w:bCs w:val="1"/>
          <w:sz w:val="48"/>
          <w:szCs w:val="48"/>
          <w:u w:val="single"/>
          <w:rtl w:val="0"/>
          <w:lang w:val="en-US"/>
        </w:rPr>
        <w:t>Chronic Mouth Ulcers</w:t>
      </w:r>
    </w:p>
    <w:p>
      <w:pPr>
        <w:pStyle w:val="Body"/>
        <w:jc w:val="center"/>
        <w:rPr>
          <w:b w:val="1"/>
          <w:bCs w:val="1"/>
          <w:sz w:val="48"/>
          <w:szCs w:val="48"/>
          <w:u w:val="single"/>
        </w:rPr>
      </w:pPr>
    </w:p>
    <w:p>
      <w:pPr>
        <w:pStyle w:val="Body"/>
        <w:jc w:val="center"/>
        <w:rPr>
          <w:b w:val="1"/>
          <w:bCs w:val="1"/>
          <w:sz w:val="48"/>
          <w:szCs w:val="48"/>
          <w:u w:val="single"/>
        </w:rPr>
      </w:pPr>
    </w:p>
    <w:p>
      <w:pPr>
        <w:pStyle w:val="Body"/>
        <w:jc w:val="left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  <w:lang w:val="en-US"/>
        </w:rPr>
        <w:t>General</w:t>
      </w:r>
    </w:p>
    <w:p>
      <w:pPr>
        <w:pStyle w:val="Body"/>
        <w:jc w:val="left"/>
        <w:rPr>
          <w:b w:val="1"/>
          <w:bCs w:val="1"/>
          <w:sz w:val="32"/>
          <w:szCs w:val="32"/>
          <w:u w:val="single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Prevalence is said to be 2-10%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Triggers can be stress and Vitamin deficiencies (iron, B12, folate)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There can be associations with Coeliac disease, IBD, Behcets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In general avoid hard acidic and salty foods</w:t>
      </w:r>
    </w:p>
    <w:p>
      <w:pPr>
        <w:pStyle w:val="Body"/>
        <w:jc w:val="left"/>
        <w:rPr>
          <w:b w:val="1"/>
          <w:bCs w:val="1"/>
          <w:sz w:val="32"/>
          <w:szCs w:val="32"/>
          <w:u w:val="single"/>
        </w:rPr>
      </w:pPr>
    </w:p>
    <w:p>
      <w:pPr>
        <w:pStyle w:val="Body"/>
        <w:jc w:val="left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  <w:lang w:val="en-US"/>
        </w:rPr>
        <w:t xml:space="preserve">Management Options </w:t>
      </w:r>
    </w:p>
    <w:p>
      <w:pPr>
        <w:pStyle w:val="Body"/>
        <w:jc w:val="left"/>
        <w:rPr>
          <w:b w:val="1"/>
          <w:bCs w:val="1"/>
          <w:sz w:val="32"/>
          <w:szCs w:val="32"/>
          <w:u w:val="single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I generally recommend starting with a combination of;-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a) Chlohexidine (Corsadyl spray or mouthwash) 2mg/1ml bd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b) Benzydamine Hydrochloride (Difflam spray or mouthwash) 1.5mg /ml 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+/- 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c) Hydrocortisone 2.5mg muco-adhesive buccal tablet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Alternatives include;-</w:t>
      </w:r>
    </w:p>
    <w:p>
      <w:pPr>
        <w:pStyle w:val="Body"/>
        <w:jc w:val="left"/>
        <w:rPr>
          <w:b w:val="1"/>
          <w:bCs w:val="1"/>
          <w:sz w:val="32"/>
          <w:szCs w:val="32"/>
          <w:u w:val="single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953"/>
        <w:gridCol w:w="7679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19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rtl w:val="0"/>
              </w:rPr>
              <w:t>Options</w:t>
            </w:r>
          </w:p>
        </w:tc>
        <w:tc>
          <w:tcPr>
            <w:tcW w:type="dxa" w:w="76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rtl w:val="0"/>
              </w:rPr>
              <w:t>Therapies</w:t>
            </w:r>
          </w:p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19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rtl w:val="0"/>
              </w:rPr>
              <w:t>Step 1</w:t>
            </w:r>
          </w:p>
        </w:tc>
        <w:tc>
          <w:tcPr>
            <w:tcW w:type="dxa" w:w="76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rtl w:val="0"/>
              </w:rPr>
              <w:t>Sucralfate 5mls liquid qds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rtl w:val="0"/>
              </w:rPr>
              <w:t>5-ASA (amino-salicylicylic acid) 5% cream tis</w:t>
            </w:r>
          </w:p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19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rtl w:val="0"/>
              </w:rPr>
              <w:t>Step 2</w:t>
            </w:r>
          </w:p>
        </w:tc>
        <w:tc>
          <w:tcPr>
            <w:tcW w:type="dxa" w:w="76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rtl w:val="0"/>
              </w:rPr>
              <w:t>Dexamethasone 0.1% oral paste ads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rtl w:val="0"/>
              </w:rPr>
              <w:t>Triamcinolone acetone 0.1% oral paste tis</w:t>
            </w:r>
          </w:p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19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rtl w:val="0"/>
              </w:rPr>
              <w:t>Step 3</w:t>
            </w:r>
          </w:p>
        </w:tc>
        <w:tc>
          <w:tcPr>
            <w:tcW w:type="dxa" w:w="76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rtl w:val="0"/>
              </w:rPr>
              <w:t>Sucralfate 1g liquid qds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rtl w:val="0"/>
              </w:rPr>
              <w:t>Colchicine 0.5 - 1 mg bd</w:t>
            </w:r>
          </w:p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19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rtl w:val="0"/>
              </w:rPr>
              <w:t>Step 4</w:t>
            </w:r>
          </w:p>
        </w:tc>
        <w:tc>
          <w:tcPr>
            <w:tcW w:type="dxa" w:w="76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rtl w:val="0"/>
              </w:rPr>
              <w:t>Pentoxifylline 200mg bd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rtl w:val="0"/>
              </w:rPr>
              <w:t>Prednisolone 10 - 30mg od</w:t>
            </w:r>
          </w:p>
        </w:tc>
      </w:tr>
    </w:tbl>
    <w:p>
      <w:pPr>
        <w:pStyle w:val="Body"/>
        <w:jc w:val="left"/>
        <w:rPr>
          <w:b w:val="1"/>
          <w:bCs w:val="1"/>
          <w:sz w:val="32"/>
          <w:szCs w:val="32"/>
          <w:u w:val="single"/>
        </w:rPr>
      </w:pP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</w:pPr>
      <w:r>
        <w:rPr>
          <w:sz w:val="28"/>
          <w:szCs w:val="28"/>
          <w:rtl w:val="0"/>
          <w:lang w:val="en-US"/>
        </w:rPr>
        <w:t>Deutsches Arzteblatt International. 2014;111:665-73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